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25" w:rsidRDefault="00305D25" w:rsidP="0030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7E6A" w:rsidRDefault="006C7E6A" w:rsidP="006C7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53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7E6A" w:rsidRPr="0036653D" w:rsidRDefault="006C7E6A" w:rsidP="006C7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5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D6140" w:rsidRPr="0036653D">
        <w:rPr>
          <w:rFonts w:ascii="Times New Roman" w:hAnsi="Times New Roman" w:cs="Times New Roman"/>
          <w:sz w:val="28"/>
          <w:szCs w:val="28"/>
        </w:rPr>
        <w:t>Внуково</w:t>
      </w:r>
    </w:p>
    <w:p w:rsidR="006C7E6A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36653D" w:rsidRDefault="0036653D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36653D" w:rsidRPr="00FC184E" w:rsidRDefault="0036653D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FC184E" w:rsidRDefault="00BA6FB5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7E6A" w:rsidRPr="00FC184E" w:rsidRDefault="006C7E6A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sz w:val="28"/>
          <w:szCs w:val="28"/>
        </w:rPr>
        <w:t>№ _______</w:t>
      </w:r>
      <w:bookmarkStart w:id="0" w:name="_GoBack"/>
      <w:bookmarkEnd w:id="0"/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DD6140" w:rsidRDefault="006C7E6A" w:rsidP="00CD74AF">
      <w:pPr>
        <w:pStyle w:val="ConsPlusNormal"/>
        <w:ind w:right="5101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Pr="00DD6140">
        <w:t xml:space="preserve">муниципального округа </w:t>
      </w:r>
      <w:r w:rsidR="00DD6140" w:rsidRPr="00DD6140">
        <w:t>Внуково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DE66D1" w:rsidRDefault="004C09AA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3665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  <w:r w:rsidRPr="0036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342CDC" w:rsidRDefault="00DE66D1" w:rsidP="0034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CDC">
        <w:rPr>
          <w:rFonts w:ascii="Times New Roman" w:hAnsi="Times New Roman" w:cs="Times New Roman"/>
          <w:sz w:val="28"/>
          <w:szCs w:val="28"/>
        </w:rPr>
        <w:t xml:space="preserve">. Признать утратившим силу постановление </w:t>
      </w:r>
      <w:r w:rsidR="00342CDC" w:rsidRPr="003665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42CDC" w:rsidRPr="00785419">
        <w:rPr>
          <w:rFonts w:ascii="Times New Roman" w:hAnsi="Times New Roman" w:cs="Times New Roman"/>
          <w:sz w:val="28"/>
          <w:szCs w:val="28"/>
        </w:rPr>
        <w:t>от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6653D">
        <w:rPr>
          <w:rFonts w:ascii="Times New Roman" w:hAnsi="Times New Roman" w:cs="Times New Roman"/>
          <w:sz w:val="28"/>
          <w:szCs w:val="28"/>
        </w:rPr>
        <w:t>17</w:t>
      </w:r>
      <w:r w:rsidR="00342CDC"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36653D">
        <w:rPr>
          <w:rFonts w:ascii="Times New Roman" w:hAnsi="Times New Roman" w:cs="Times New Roman"/>
          <w:sz w:val="28"/>
          <w:szCs w:val="28"/>
        </w:rPr>
        <w:t>октября</w:t>
      </w:r>
      <w:r w:rsidR="00342CDC" w:rsidRPr="00785419">
        <w:rPr>
          <w:rFonts w:ascii="Times New Roman" w:hAnsi="Times New Roman" w:cs="Times New Roman"/>
          <w:sz w:val="28"/>
          <w:szCs w:val="28"/>
        </w:rPr>
        <w:t xml:space="preserve"> 20</w:t>
      </w:r>
      <w:r w:rsidR="0036653D">
        <w:rPr>
          <w:rFonts w:ascii="Times New Roman" w:hAnsi="Times New Roman" w:cs="Times New Roman"/>
          <w:sz w:val="28"/>
          <w:szCs w:val="28"/>
        </w:rPr>
        <w:t>17</w:t>
      </w:r>
      <w:r w:rsidR="00342CDC"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42CDC" w:rsidRPr="00C65A96">
        <w:rPr>
          <w:rFonts w:ascii="Times New Roman" w:hAnsi="Times New Roman" w:cs="Times New Roman"/>
          <w:sz w:val="28"/>
          <w:szCs w:val="28"/>
        </w:rPr>
        <w:t>№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6653D">
        <w:rPr>
          <w:rFonts w:ascii="Times New Roman" w:hAnsi="Times New Roman" w:cs="Times New Roman"/>
          <w:sz w:val="28"/>
          <w:szCs w:val="28"/>
        </w:rPr>
        <w:t>5-П «</w:t>
      </w:r>
      <w:r w:rsidR="0036653D" w:rsidRPr="0036653D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муниципального округа Внуково</w:t>
      </w:r>
      <w:r w:rsidR="00342CDC">
        <w:rPr>
          <w:rFonts w:ascii="Times New Roman" w:hAnsi="Times New Roman" w:cs="Times New Roman"/>
          <w:sz w:val="28"/>
          <w:szCs w:val="28"/>
        </w:rPr>
        <w:t>».</w:t>
      </w:r>
    </w:p>
    <w:p w:rsidR="00DE66D1" w:rsidRPr="0036653D" w:rsidRDefault="00DE66D1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6D1">
        <w:rPr>
          <w:rFonts w:ascii="Times New Roman" w:hAnsi="Times New Roman" w:cs="Times New Roman"/>
          <w:sz w:val="28"/>
          <w:szCs w:val="28"/>
        </w:rPr>
        <w:t>. </w:t>
      </w:r>
      <w:r w:rsidRPr="00DE66D1"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</w:t>
      </w:r>
      <w:r w:rsidRPr="0036653D">
        <w:rPr>
          <w:rFonts w:ascii="Times New Roman" w:hAnsi="Times New Roman" w:cs="Times New Roman"/>
          <w:sz w:val="28"/>
        </w:rPr>
        <w:t xml:space="preserve">в </w:t>
      </w:r>
      <w:r w:rsidRPr="0036653D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Pr="0036653D">
        <w:rPr>
          <w:rFonts w:ascii="Times New Roman" w:hAnsi="Times New Roman" w:cs="Times New Roman"/>
          <w:sz w:val="28"/>
          <w:szCs w:val="27"/>
        </w:rPr>
        <w:t>.</w:t>
      </w:r>
    </w:p>
    <w:p w:rsidR="006C7E6A" w:rsidRPr="0036653D" w:rsidRDefault="00342CDC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36653D">
        <w:rPr>
          <w:rFonts w:ascii="Times New Roman" w:hAnsi="Times New Roman" w:cs="Times New Roman"/>
          <w:sz w:val="28"/>
          <w:szCs w:val="28"/>
        </w:rPr>
        <w:t>остав</w:t>
      </w:r>
      <w:r w:rsidR="006460E9" w:rsidRPr="0036653D">
        <w:rPr>
          <w:rFonts w:ascii="Times New Roman" w:hAnsi="Times New Roman" w:cs="Times New Roman"/>
          <w:sz w:val="28"/>
          <w:szCs w:val="28"/>
        </w:rPr>
        <w:t>ляю</w:t>
      </w:r>
      <w:r w:rsidR="006C2188" w:rsidRPr="0036653D">
        <w:rPr>
          <w:rFonts w:ascii="Times New Roman" w:hAnsi="Times New Roman" w:cs="Times New Roman"/>
          <w:sz w:val="28"/>
          <w:szCs w:val="28"/>
        </w:rPr>
        <w:t xml:space="preserve"> за </w:t>
      </w:r>
      <w:r w:rsidR="004C09AA" w:rsidRPr="0036653D">
        <w:rPr>
          <w:rFonts w:ascii="Times New Roman" w:hAnsi="Times New Roman" w:cs="Times New Roman"/>
          <w:sz w:val="28"/>
          <w:szCs w:val="28"/>
        </w:rPr>
        <w:t>собой</w:t>
      </w:r>
      <w:r w:rsidR="006C7E6A" w:rsidRPr="0036653D">
        <w:rPr>
          <w:rFonts w:ascii="Times New Roman" w:hAnsi="Times New Roman" w:cs="Times New Roman"/>
          <w:sz w:val="28"/>
          <w:szCs w:val="28"/>
        </w:rPr>
        <w:t>.</w:t>
      </w:r>
    </w:p>
    <w:p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9" w:rsidRPr="00FC184E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3D" w:rsidRPr="0036653D" w:rsidRDefault="0036653D" w:rsidP="003665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Глава муниципального</w:t>
      </w:r>
    </w:p>
    <w:p w:rsidR="0036653D" w:rsidRPr="0036653D" w:rsidRDefault="0036653D" w:rsidP="003665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округа Внуково  </w:t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3665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  <w:t xml:space="preserve">       В.И. Рогов</w:t>
      </w:r>
    </w:p>
    <w:p w:rsidR="00E12D59" w:rsidRDefault="00E12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36653D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Pr="003665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>от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785419">
        <w:rPr>
          <w:rFonts w:ascii="Times New Roman" w:hAnsi="Times New Roman" w:cs="Times New Roman"/>
          <w:sz w:val="28"/>
          <w:szCs w:val="28"/>
        </w:rPr>
        <w:t>___ __________ 20</w:t>
      </w:r>
      <w:r w:rsidR="0036653D">
        <w:rPr>
          <w:rFonts w:ascii="Times New Roman" w:hAnsi="Times New Roman" w:cs="Times New Roman"/>
          <w:sz w:val="28"/>
          <w:szCs w:val="28"/>
        </w:rPr>
        <w:t>23</w:t>
      </w:r>
      <w:r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6C2188">
        <w:rPr>
          <w:rFonts w:ascii="Times New Roman" w:hAnsi="Times New Roman" w:cs="Times New Roman"/>
          <w:sz w:val="28"/>
          <w:szCs w:val="28"/>
        </w:rPr>
        <w:t xml:space="preserve"> </w:t>
      </w:r>
      <w:r w:rsidR="005C60B4">
        <w:rPr>
          <w:rFonts w:ascii="Times New Roman" w:hAnsi="Times New Roman" w:cs="Times New Roman"/>
          <w:sz w:val="28"/>
          <w:szCs w:val="28"/>
        </w:rPr>
        <w:t>___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36653D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3665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468A" w:rsidRPr="0036653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3665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6653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93468A" w:rsidRPr="003665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6653D" w:rsidRPr="0036653D">
        <w:rPr>
          <w:rFonts w:ascii="Times New Roman" w:hAnsi="Times New Roman" w:cs="Times New Roman"/>
          <w:sz w:val="28"/>
          <w:szCs w:val="28"/>
        </w:rPr>
        <w:t>Внуково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>
        <w:rPr>
          <w:rFonts w:ascii="Times New Roman" w:hAnsi="Times New Roman" w:cs="Times New Roman"/>
          <w:sz w:val="28"/>
          <w:szCs w:val="28"/>
        </w:rPr>
        <w:t>)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DE7686" w:rsidRPr="0036653D">
        <w:rPr>
          <w:rFonts w:ascii="Times New Roman" w:hAnsi="Times New Roman" w:cs="Times New Roman"/>
          <w:sz w:val="28"/>
          <w:szCs w:val="28"/>
        </w:rPr>
        <w:t>администрация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366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305D25">
        <w:rPr>
          <w:rFonts w:ascii="Times New Roman" w:hAnsi="Times New Roman" w:cs="Times New Roman"/>
          <w:sz w:val="28"/>
          <w:szCs w:val="28"/>
        </w:rPr>
        <w:t>администрации</w:t>
      </w:r>
      <w:r w:rsidR="008A2C3B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305D25">
        <w:rPr>
          <w:rFonts w:ascii="Times New Roman" w:hAnsi="Times New Roman" w:cs="Times New Roman"/>
          <w:sz w:val="28"/>
          <w:szCs w:val="28"/>
        </w:rPr>
        <w:t>администрации</w:t>
      </w:r>
      <w:r w:rsidRPr="00961FA4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305D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305D25">
        <w:rPr>
          <w:rFonts w:ascii="Times New Roman" w:hAnsi="Times New Roman" w:cs="Times New Roman"/>
          <w:sz w:val="28"/>
          <w:szCs w:val="28"/>
        </w:rPr>
        <w:t>администрация</w:t>
      </w:r>
      <w:r w:rsidR="002C459E" w:rsidRPr="00961FA4">
        <w:rPr>
          <w:rFonts w:ascii="Times New Roman" w:hAnsi="Times New Roman" w:cs="Times New Roman"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305D25">
        <w:rPr>
          <w:rFonts w:ascii="Times New Roman" w:hAnsi="Times New Roman" w:cs="Times New Roman"/>
          <w:sz w:val="28"/>
          <w:szCs w:val="28"/>
        </w:rPr>
        <w:t>администрации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25">
        <w:rPr>
          <w:rFonts w:ascii="Times New Roman" w:hAnsi="Times New Roman" w:cs="Times New Roman"/>
          <w:sz w:val="28"/>
          <w:szCs w:val="28"/>
        </w:rPr>
        <w:t>администрации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активов (далее - комиссия).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05D25">
        <w:rPr>
          <w:rFonts w:ascii="Times New Roman" w:hAnsi="Times New Roman" w:cs="Times New Roman"/>
          <w:sz w:val="28"/>
          <w:szCs w:val="28"/>
        </w:rPr>
        <w:t>администрации.</w:t>
      </w:r>
      <w:r w:rsidRPr="00C912A9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</w:t>
      </w:r>
      <w:r w:rsidRPr="00305D2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секретарь комиссии, </w:t>
      </w:r>
      <w:r w:rsidRPr="00C912A9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2A0861" w:rsidRPr="00305D2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Pr="00305D25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(пункт 5).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Pr="00305D2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05D25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 </w:t>
      </w:r>
      <w:r w:rsidRPr="00305D25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31">
        <w:rPr>
          <w:rFonts w:ascii="Times New Roman" w:hAnsi="Times New Roman" w:cs="Times New Roman"/>
          <w:sz w:val="28"/>
          <w:szCs w:val="28"/>
        </w:rPr>
        <w:t xml:space="preserve">за выявление задолженности по платежам в бюджет </w:t>
      </w:r>
      <w:r w:rsidRPr="00305D25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B3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относящийся к соответствующему случаю</w:t>
      </w:r>
      <w:r w:rsidR="00970900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701B31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305D25">
        <w:rPr>
          <w:rFonts w:ascii="Times New Roman" w:hAnsi="Times New Roman" w:cs="Times New Roman"/>
          <w:sz w:val="28"/>
          <w:szCs w:val="28"/>
        </w:rPr>
        <w:t>администрацию</w:t>
      </w:r>
      <w:r w:rsidR="00970900" w:rsidRPr="00961FA4">
        <w:rPr>
          <w:rFonts w:ascii="Times New Roman" w:hAnsi="Times New Roman" w:cs="Times New Roman"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305D25">
        <w:rPr>
          <w:rFonts w:ascii="Times New Roman" w:hAnsi="Times New Roman" w:cs="Times New Roman"/>
          <w:sz w:val="28"/>
          <w:szCs w:val="28"/>
        </w:rPr>
        <w:t>и проект распоряжения</w:t>
      </w:r>
      <w:r w:rsidR="00815AB8" w:rsidRPr="00305D25">
        <w:rPr>
          <w:rFonts w:ascii="Times New Roman" w:hAnsi="Times New Roman" w:cs="Times New Roman"/>
          <w:iCs/>
          <w:sz w:val="28"/>
          <w:szCs w:val="28"/>
        </w:rPr>
        <w:t xml:space="preserve"> администрации о его утверждении</w:t>
      </w:r>
      <w:r w:rsidRPr="00305D25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305D25" w:rsidRPr="00305D25">
        <w:rPr>
          <w:rFonts w:ascii="Times New Roman" w:hAnsi="Times New Roman" w:cs="Times New Roman"/>
          <w:sz w:val="28"/>
          <w:szCs w:val="28"/>
        </w:rPr>
        <w:t>главе муниципального округа Внуково</w:t>
      </w:r>
      <w:r w:rsidR="002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>омиссии об отказе в признании задолженности по платежам в бюджет безнадежной к взысканию</w:t>
      </w:r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EA1B36" w:rsidRDefault="002A0861" w:rsidP="0081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305D25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Внуково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 xml:space="preserve"> 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1B36" w:rsidRPr="00305D25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305D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32" w:rsidRDefault="00BA5C32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Pr="00BA5C32" w:rsidRDefault="00BA5C32" w:rsidP="00BA5C32">
      <w:pPr>
        <w:autoSpaceDE w:val="0"/>
        <w:autoSpaceDN w:val="0"/>
        <w:adjustRightInd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C3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</w:p>
    <w:p w:rsidR="00BA5C32" w:rsidRPr="00BA5C32" w:rsidRDefault="00BA5C32" w:rsidP="00BA5C3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C32">
        <w:rPr>
          <w:rFonts w:ascii="Times New Roman" w:eastAsia="Times New Roman" w:hAnsi="Times New Roman" w:cs="Times New Roman"/>
          <w:i/>
          <w:sz w:val="28"/>
          <w:szCs w:val="28"/>
        </w:rPr>
        <w:t xml:space="preserve">к распоряжению администрации </w:t>
      </w:r>
      <w:r w:rsidRPr="00BA5C32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305D25">
        <w:rPr>
          <w:rFonts w:ascii="Times New Roman" w:hAnsi="Times New Roman" w:cs="Times New Roman"/>
          <w:i/>
          <w:sz w:val="28"/>
          <w:szCs w:val="28"/>
        </w:rPr>
        <w:t>Внуково</w:t>
      </w:r>
    </w:p>
    <w:p w:rsidR="00BA5C32" w:rsidRPr="00BA5C32" w:rsidRDefault="00BA5C32" w:rsidP="00BA5C32">
      <w:pPr>
        <w:spacing w:after="0" w:line="240" w:lineRule="auto"/>
        <w:ind w:left="5245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BA5C32">
        <w:rPr>
          <w:rFonts w:ascii="Times New Roman" w:hAnsi="Times New Roman" w:cs="Times New Roman"/>
          <w:i/>
          <w:sz w:val="28"/>
          <w:szCs w:val="28"/>
        </w:rPr>
        <w:t>от ___ __________ 20__ года № ___</w:t>
      </w:r>
    </w:p>
    <w:p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1A4989" w:rsidRPr="00305D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1A4989" w:rsidRPr="00305D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305D25">
        <w:rPr>
          <w:rFonts w:ascii="Times New Roman" w:hAnsi="Times New Roman" w:cs="Times New Roman"/>
          <w:sz w:val="28"/>
          <w:szCs w:val="28"/>
        </w:rPr>
        <w:t>администраци</w:t>
      </w:r>
      <w:r w:rsidR="00305D25" w:rsidRPr="00305D25">
        <w:rPr>
          <w:rFonts w:ascii="Times New Roman" w:hAnsi="Times New Roman" w:cs="Times New Roman"/>
          <w:sz w:val="28"/>
          <w:szCs w:val="28"/>
        </w:rPr>
        <w:t>и</w:t>
      </w:r>
      <w:r w:rsidR="001A4989" w:rsidRPr="00305D2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  <w:r w:rsidR="001A4989" w:rsidRPr="00305D25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от ___ _______ 20__ года № ____,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комиссия</w:t>
      </w:r>
      <w:r w:rsidR="003236CD">
        <w:rPr>
          <w:rFonts w:ascii="Times New Roman" w:hAnsi="Times New Roman" w:cs="Times New Roman"/>
          <w:sz w:val="28"/>
          <w:szCs w:val="28"/>
        </w:rPr>
        <w:t xml:space="preserve"> </w:t>
      </w:r>
      <w:r w:rsidR="003236CD" w:rsidRPr="00305D25">
        <w:rPr>
          <w:rFonts w:ascii="Times New Roman" w:hAnsi="Times New Roman" w:cs="Times New Roman"/>
          <w:sz w:val="28"/>
          <w:szCs w:val="28"/>
        </w:rPr>
        <w:t>администрации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1216A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993" w:rsidRPr="00305D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  <w:r w:rsidR="006045E9">
        <w:rPr>
          <w:rFonts w:ascii="Times New Roman" w:hAnsi="Times New Roman" w:cs="Times New Roman"/>
          <w:sz w:val="28"/>
          <w:szCs w:val="28"/>
        </w:rPr>
        <w:t>,</w:t>
      </w:r>
      <w:r w:rsidR="00305D25">
        <w:rPr>
          <w:rFonts w:ascii="Times New Roman" w:hAnsi="Times New Roman" w:cs="Times New Roman"/>
          <w:sz w:val="28"/>
          <w:szCs w:val="28"/>
        </w:rPr>
        <w:t xml:space="preserve"> </w:t>
      </w:r>
      <w:r w:rsidRPr="00D1216A">
        <w:rPr>
          <w:rFonts w:ascii="Times New Roman" w:hAnsi="Times New Roman" w:cs="Times New Roman"/>
          <w:sz w:val="28"/>
          <w:szCs w:val="28"/>
        </w:rPr>
        <w:t>его</w:t>
      </w:r>
      <w:r w:rsidR="00305D25">
        <w:rPr>
          <w:rFonts w:ascii="Times New Roman" w:hAnsi="Times New Roman" w:cs="Times New Roman"/>
          <w:sz w:val="28"/>
          <w:szCs w:val="28"/>
        </w:rPr>
        <w:t xml:space="preserve"> </w:t>
      </w:r>
      <w:r w:rsidRPr="00D1216A">
        <w:rPr>
          <w:rFonts w:ascii="Times New Roman" w:hAnsi="Times New Roman" w:cs="Times New Roman"/>
          <w:sz w:val="28"/>
          <w:szCs w:val="28"/>
        </w:rPr>
        <w:t>наименование</w:t>
      </w:r>
      <w:r w:rsidR="00331F57">
        <w:rPr>
          <w:rFonts w:ascii="Times New Roman" w:hAnsi="Times New Roman" w:cs="Times New Roman"/>
          <w:sz w:val="28"/>
          <w:szCs w:val="28"/>
        </w:rPr>
        <w:t>__________</w:t>
      </w:r>
      <w:r w:rsidR="006045E9">
        <w:rPr>
          <w:rFonts w:ascii="Times New Roman" w:hAnsi="Times New Roman" w:cs="Times New Roman"/>
          <w:sz w:val="28"/>
          <w:szCs w:val="28"/>
        </w:rPr>
        <w:t>________________________</w:t>
      </w:r>
      <w:r w:rsidR="00305D25">
        <w:rPr>
          <w:rFonts w:ascii="Times New Roman" w:hAnsi="Times New Roman" w:cs="Times New Roman"/>
          <w:sz w:val="28"/>
          <w:szCs w:val="28"/>
        </w:rPr>
        <w:t>__________</w:t>
      </w:r>
    </w:p>
    <w:p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57BC0" w:rsidRPr="00305D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  <w:r w:rsidR="00057BC0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16816" w:rsidRPr="00305D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05D25" w:rsidRPr="00305D25">
        <w:rPr>
          <w:rFonts w:ascii="Times New Roman" w:hAnsi="Times New Roman" w:cs="Times New Roman"/>
          <w:sz w:val="28"/>
          <w:szCs w:val="28"/>
        </w:rPr>
        <w:t>Внуково</w:t>
      </w:r>
      <w:r w:rsidR="00EA1B36" w:rsidRPr="00305D25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305D2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AE" w:rsidRDefault="00B852AE" w:rsidP="006C7E6A">
      <w:pPr>
        <w:spacing w:after="0" w:line="240" w:lineRule="auto"/>
      </w:pPr>
      <w:r>
        <w:separator/>
      </w:r>
    </w:p>
  </w:endnote>
  <w:endnote w:type="continuationSeparator" w:id="0">
    <w:p w:rsidR="00B852AE" w:rsidRDefault="00B852AE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AE" w:rsidRDefault="00B852AE" w:rsidP="006C7E6A">
      <w:pPr>
        <w:spacing w:after="0" w:line="240" w:lineRule="auto"/>
      </w:pPr>
      <w:r>
        <w:separator/>
      </w:r>
    </w:p>
  </w:footnote>
  <w:footnote w:type="continuationSeparator" w:id="0">
    <w:p w:rsidR="00B852AE" w:rsidRDefault="00B852AE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88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C09" w:rsidRPr="00FA2C09" w:rsidRDefault="00FA2C09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305D25">
          <w:rPr>
            <w:rFonts w:ascii="Times New Roman" w:hAnsi="Times New Roman" w:cs="Times New Roman"/>
            <w:noProof/>
          </w:rPr>
          <w:t>3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7BB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5D25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53D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3CFF"/>
    <w:rsid w:val="00A2415E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52AE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6435"/>
    <w:rsid w:val="00C03394"/>
    <w:rsid w:val="00C042C1"/>
    <w:rsid w:val="00C05D20"/>
    <w:rsid w:val="00C06268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76F2"/>
    <w:rsid w:val="00DC7B17"/>
    <w:rsid w:val="00DD18C3"/>
    <w:rsid w:val="00DD2567"/>
    <w:rsid w:val="00DD4812"/>
    <w:rsid w:val="00DD6140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F2D5-BCD2-4CAD-BFEA-A602965B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CB3E-5AC7-437E-91D1-C8023BB6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5122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Вероника</cp:lastModifiedBy>
  <cp:revision>107</cp:revision>
  <cp:lastPrinted>2015-05-20T10:05:00Z</cp:lastPrinted>
  <dcterms:created xsi:type="dcterms:W3CDTF">2015-04-28T13:52:00Z</dcterms:created>
  <dcterms:modified xsi:type="dcterms:W3CDTF">2023-01-16T06:49:00Z</dcterms:modified>
</cp:coreProperties>
</file>